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916"/>
        <w:gridCol w:w="1916"/>
        <w:gridCol w:w="1915"/>
        <w:gridCol w:w="1915"/>
      </w:tblGrid>
      <w:tr w:rsidR="006842C1" w:rsidTr="004D2883"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205F7" w:rsidRPr="0043171D" w:rsidRDefault="005205F7" w:rsidP="0043171D">
            <w:pPr>
              <w:ind w:left="113" w:right="113"/>
              <w:jc w:val="center"/>
              <w:rPr>
                <w:sz w:val="48"/>
                <w:szCs w:val="48"/>
              </w:rPr>
            </w:pPr>
            <w:r w:rsidRPr="0043171D">
              <w:rPr>
                <w:sz w:val="48"/>
                <w:szCs w:val="48"/>
              </w:rPr>
              <w:t>Foundational Skills of Reading</w:t>
            </w: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5205F7" w:rsidRDefault="005205F7">
            <w:r>
              <w:t>4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5205F7" w:rsidRDefault="005205F7">
            <w:r>
              <w:t>3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5205F7" w:rsidRDefault="005205F7">
            <w:r>
              <w:t>2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205F7" w:rsidRDefault="005205F7">
            <w:r>
              <w:t>1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</w:tcBorders>
          </w:tcPr>
          <w:p w:rsidR="005205F7" w:rsidRDefault="007676BB">
            <w:r>
              <w:t>Articulates personal connection with</w:t>
            </w:r>
            <w:r>
              <w:t xml:space="preserve"> lesson, moral or message in Fairy Tales, Folktales,  or Fables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5205F7" w:rsidRDefault="005205F7">
            <w:r>
              <w:t>Describe lesson, moral or message in Fairy Tales, Folktales,  or Fables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5205F7" w:rsidRDefault="007676BB">
            <w:r>
              <w:t>Describe</w:t>
            </w:r>
            <w:r>
              <w:t>s</w:t>
            </w:r>
            <w:r>
              <w:t xml:space="preserve"> lesson, moral or message in </w:t>
            </w:r>
            <w:r>
              <w:t>a Fairy Tale, Folktale</w:t>
            </w:r>
            <w:r>
              <w:t xml:space="preserve">, </w:t>
            </w:r>
            <w:r>
              <w:t xml:space="preserve"> or Fable</w:t>
            </w:r>
          </w:p>
        </w:tc>
        <w:tc>
          <w:tcPr>
            <w:tcW w:w="1000" w:type="pct"/>
            <w:tcBorders>
              <w:top w:val="single" w:sz="36" w:space="0" w:color="auto"/>
              <w:right w:val="single" w:sz="36" w:space="0" w:color="auto"/>
            </w:tcBorders>
          </w:tcPr>
          <w:p w:rsidR="005205F7" w:rsidRDefault="007676BB">
            <w:r>
              <w:t>Attempts to describe lesson, moral or message in one genre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0C09B1">
            <w:r>
              <w:t>Creates own Fairy Tale, Folktale, and/or Fable</w:t>
            </w:r>
            <w:r w:rsidR="007676BB">
              <w:t xml:space="preserve"> including characters, setting, and plot</w:t>
            </w:r>
          </w:p>
        </w:tc>
        <w:tc>
          <w:tcPr>
            <w:tcW w:w="1000" w:type="pct"/>
          </w:tcPr>
          <w:p w:rsidR="005205F7" w:rsidRDefault="005205F7">
            <w:r>
              <w:t>Retell Fairy Tales, Folktales, and Fables including characters, setting, and plot</w:t>
            </w:r>
          </w:p>
        </w:tc>
        <w:tc>
          <w:tcPr>
            <w:tcW w:w="1000" w:type="pct"/>
          </w:tcPr>
          <w:p w:rsidR="005205F7" w:rsidRDefault="007676BB">
            <w:r>
              <w:t xml:space="preserve">Retell a Fairy Tale, Folktale, or Fable </w:t>
            </w:r>
            <w:r>
              <w:t>including characters, setting, and plot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0C09B1">
            <w:r>
              <w:t>Attempts to retell a Fairy Tale, Folktale, and Fable</w:t>
            </w:r>
            <w:r w:rsidR="007676BB">
              <w:t xml:space="preserve"> including characters, setting, and plot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E70ACD">
            <w:r>
              <w:t>Compare and Contrast two or more versions of the same story</w:t>
            </w:r>
          </w:p>
        </w:tc>
        <w:tc>
          <w:tcPr>
            <w:tcW w:w="1000" w:type="pct"/>
          </w:tcPr>
          <w:p w:rsidR="005205F7" w:rsidRDefault="005205F7">
            <w:r>
              <w:t>Compare two or more versions of the same story</w:t>
            </w:r>
          </w:p>
        </w:tc>
        <w:tc>
          <w:tcPr>
            <w:tcW w:w="1000" w:type="pct"/>
          </w:tcPr>
          <w:p w:rsidR="005205F7" w:rsidRDefault="00E70ACD">
            <w:r>
              <w:t>Retells two or more versions of same story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E70ACD">
            <w:r>
              <w:t>Attempts to retell</w:t>
            </w:r>
          </w:p>
          <w:p w:rsidR="00E70ACD" w:rsidRDefault="00E70ACD">
            <w:r>
              <w:t>a version of a story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6842C1">
            <w:r>
              <w:t>Creates  unique  presentation of their own characters, setting, or plot</w:t>
            </w:r>
          </w:p>
        </w:tc>
        <w:tc>
          <w:tcPr>
            <w:tcW w:w="1000" w:type="pct"/>
          </w:tcPr>
          <w:p w:rsidR="005205F7" w:rsidRDefault="006842C1" w:rsidP="00E70ACD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Demonstrates </w:t>
            </w:r>
            <w:r w:rsidR="00E70ACD">
              <w:rPr>
                <w:rFonts w:ascii="TimesNewRomanPSMT" w:hAnsi="TimesNewRomanPSMT" w:cs="TimesNewRomanPSMT"/>
                <w:sz w:val="24"/>
                <w:szCs w:val="24"/>
              </w:rPr>
              <w:t>understanding of its characters, setting, or plot</w:t>
            </w:r>
          </w:p>
        </w:tc>
        <w:tc>
          <w:tcPr>
            <w:tcW w:w="1000" w:type="pct"/>
          </w:tcPr>
          <w:p w:rsidR="005205F7" w:rsidRDefault="006842C1">
            <w:r>
              <w:t>Demonstrates partial understanding of its characters, setting, or plot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6842C1">
            <w:r>
              <w:t>Attempts to demonstrate an understanding of the character, or the setting, or the plot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126A28">
            <w:r>
              <w:t>Always uses context clues to make meaning of  unknown words</w:t>
            </w:r>
          </w:p>
        </w:tc>
        <w:tc>
          <w:tcPr>
            <w:tcW w:w="1000" w:type="pct"/>
          </w:tcPr>
          <w:p w:rsidR="005205F7" w:rsidRDefault="00126A28">
            <w:r>
              <w:t>Regularly u</w:t>
            </w:r>
            <w:r w:rsidR="005205F7">
              <w:t>se</w:t>
            </w:r>
            <w:r>
              <w:t>s</w:t>
            </w:r>
            <w:r w:rsidR="005205F7">
              <w:t xml:space="preserve"> con</w:t>
            </w:r>
            <w:r>
              <w:t xml:space="preserve">text clues to make meaning of </w:t>
            </w:r>
            <w:r w:rsidR="005205F7">
              <w:t xml:space="preserve"> unknown word</w:t>
            </w:r>
            <w:r w:rsidR="004D2883">
              <w:t>s</w:t>
            </w:r>
          </w:p>
        </w:tc>
        <w:tc>
          <w:tcPr>
            <w:tcW w:w="1000" w:type="pct"/>
          </w:tcPr>
          <w:p w:rsidR="005205F7" w:rsidRDefault="004D2883">
            <w:r>
              <w:t>Uses  context clues to make meaning of an unknown word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4D2883">
            <w:r>
              <w:t>Attempts to use context clues to make meaning of an unknown word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126A28">
            <w:r>
              <w:t>Always uses prefixes, compound, and root words to make meaning of unknown words</w:t>
            </w:r>
          </w:p>
        </w:tc>
        <w:tc>
          <w:tcPr>
            <w:tcW w:w="1000" w:type="pct"/>
          </w:tcPr>
          <w:p w:rsidR="005205F7" w:rsidRDefault="00126A28">
            <w:r>
              <w:t xml:space="preserve">Routinely  uses </w:t>
            </w:r>
            <w:r w:rsidR="005205F7">
              <w:t>prefixes, compound, and root words to make meaning of unknown words</w:t>
            </w:r>
          </w:p>
        </w:tc>
        <w:tc>
          <w:tcPr>
            <w:tcW w:w="1000" w:type="pct"/>
          </w:tcPr>
          <w:p w:rsidR="005205F7" w:rsidRDefault="004D2883">
            <w:r>
              <w:t>Most of the time is able to use prefixes, compound, and root words to make meaning of unknown words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4D2883">
            <w:r>
              <w:t>Can occasionally use prefixes, compound, and root words to make meaning of unknown words.</w:t>
            </w:r>
          </w:p>
        </w:tc>
      </w:tr>
      <w:tr w:rsidR="006842C1" w:rsidTr="004D2883"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205F7" w:rsidRDefault="005205F7"/>
        </w:tc>
        <w:tc>
          <w:tcPr>
            <w:tcW w:w="1000" w:type="pct"/>
            <w:tcBorders>
              <w:left w:val="single" w:sz="36" w:space="0" w:color="auto"/>
              <w:bottom w:val="single" w:sz="36" w:space="0" w:color="auto"/>
            </w:tcBorders>
          </w:tcPr>
          <w:p w:rsidR="005205F7" w:rsidRDefault="004D2883">
            <w:r>
              <w:t xml:space="preserve">Reads at a DRA level of 24 or higher </w:t>
            </w:r>
            <w:proofErr w:type="spellStart"/>
            <w:r>
              <w:t>lexile</w:t>
            </w:r>
            <w:proofErr w:type="spellEnd"/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5205F7" w:rsidRDefault="005205F7">
            <w:r>
              <w:t>Read</w:t>
            </w:r>
            <w:r w:rsidR="004D2883">
              <w:t xml:space="preserve">s at a DRA level of 20 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5205F7" w:rsidRDefault="004D2883">
            <w:r>
              <w:t>Reads at a DRA level of 18 or 16</w:t>
            </w:r>
          </w:p>
        </w:tc>
        <w:tc>
          <w:tcPr>
            <w:tcW w:w="1000" w:type="pct"/>
            <w:tcBorders>
              <w:bottom w:val="single" w:sz="36" w:space="0" w:color="auto"/>
              <w:right w:val="single" w:sz="36" w:space="0" w:color="auto"/>
            </w:tcBorders>
          </w:tcPr>
          <w:p w:rsidR="005205F7" w:rsidRDefault="004D2883">
            <w:r>
              <w:t>Reads at a DRA level of 14 or lower</w:t>
            </w:r>
          </w:p>
        </w:tc>
      </w:tr>
      <w:tr w:rsidR="006842C1" w:rsidTr="007676BB">
        <w:trPr>
          <w:cantSplit/>
          <w:trHeight w:val="1134"/>
        </w:trPr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205F7" w:rsidRPr="0043171D" w:rsidRDefault="005205F7" w:rsidP="005205F7">
            <w:pPr>
              <w:ind w:left="113" w:right="113"/>
              <w:rPr>
                <w:sz w:val="44"/>
                <w:szCs w:val="44"/>
              </w:rPr>
            </w:pPr>
            <w:r w:rsidRPr="0043171D">
              <w:rPr>
                <w:sz w:val="44"/>
                <w:szCs w:val="44"/>
              </w:rPr>
              <w:t xml:space="preserve">Reading for all </w:t>
            </w:r>
            <w:r w:rsidR="00126A28">
              <w:rPr>
                <w:sz w:val="44"/>
                <w:szCs w:val="44"/>
              </w:rPr>
              <w:t xml:space="preserve"> pur</w:t>
            </w:r>
            <w:r w:rsidRPr="0043171D">
              <w:rPr>
                <w:sz w:val="44"/>
                <w:szCs w:val="44"/>
              </w:rPr>
              <w:t>poses</w:t>
            </w: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</w:tcBorders>
          </w:tcPr>
          <w:p w:rsidR="005205F7" w:rsidRDefault="00126A28">
            <w:r>
              <w:t>Creates own Fairy Tale, Folktale, or Fable with a clear lesson, moral or message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5205F7" w:rsidRDefault="005205F7">
            <w:r>
              <w:t>Describe lesson, moral or message in Fairy Tales, Folktales,  or Fables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5205F7" w:rsidRDefault="00126A28">
            <w:r>
              <w:t>Attempts to describe the correct lesson, moral or message in Fairy Tales, Folktales, or Fables</w:t>
            </w:r>
          </w:p>
        </w:tc>
        <w:tc>
          <w:tcPr>
            <w:tcW w:w="1000" w:type="pct"/>
            <w:tcBorders>
              <w:top w:val="single" w:sz="36" w:space="0" w:color="auto"/>
              <w:right w:val="single" w:sz="36" w:space="0" w:color="auto"/>
            </w:tcBorders>
          </w:tcPr>
          <w:p w:rsidR="005205F7" w:rsidRDefault="00126A28">
            <w:r>
              <w:t>Attempts to describe the lesson, moral or message in Fairy Tales, Folktales, or Fables</w:t>
            </w:r>
          </w:p>
        </w:tc>
      </w:tr>
      <w:tr w:rsidR="006842C1" w:rsidTr="007676BB">
        <w:trPr>
          <w:cantSplit/>
          <w:trHeight w:val="1134"/>
        </w:trPr>
        <w:tc>
          <w:tcPr>
            <w:tcW w:w="999" w:type="pct"/>
            <w:vMerge/>
            <w:tcBorders>
              <w:left w:val="single" w:sz="36" w:space="0" w:color="auto"/>
              <w:right w:val="single" w:sz="36" w:space="0" w:color="auto"/>
            </w:tcBorders>
            <w:textDirection w:val="btLr"/>
          </w:tcPr>
          <w:p w:rsidR="005205F7" w:rsidRDefault="005205F7" w:rsidP="005205F7">
            <w:pPr>
              <w:ind w:left="113" w:right="113"/>
            </w:pPr>
          </w:p>
        </w:tc>
        <w:tc>
          <w:tcPr>
            <w:tcW w:w="1000" w:type="pct"/>
            <w:tcBorders>
              <w:left w:val="single" w:sz="36" w:space="0" w:color="auto"/>
            </w:tcBorders>
          </w:tcPr>
          <w:p w:rsidR="005205F7" w:rsidRDefault="00126A28">
            <w:r>
              <w:t>Creates own Fairy Tale, Folktale, and/or Fable including characters, setting, and plot</w:t>
            </w:r>
          </w:p>
        </w:tc>
        <w:tc>
          <w:tcPr>
            <w:tcW w:w="1000" w:type="pct"/>
          </w:tcPr>
          <w:p w:rsidR="005205F7" w:rsidRDefault="008A2FDB">
            <w:r>
              <w:t>Retell Fairy Tales, Folktales, and Fables including characters, setting, and plot</w:t>
            </w:r>
          </w:p>
        </w:tc>
        <w:tc>
          <w:tcPr>
            <w:tcW w:w="1000" w:type="pct"/>
          </w:tcPr>
          <w:p w:rsidR="005205F7" w:rsidRDefault="00126A28">
            <w:r>
              <w:t>Retell a Fairy Tale, Folktale, or Fable including characters, setting, and plot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5205F7" w:rsidRDefault="00126A28">
            <w:r>
              <w:t>Attempts to retell a Fairy Tale, Folktale, and Fable including characters, setting, and plot</w:t>
            </w:r>
          </w:p>
        </w:tc>
      </w:tr>
      <w:tr w:rsidR="006842C1" w:rsidTr="004D2883">
        <w:trPr>
          <w:cantSplit/>
          <w:trHeight w:val="1134"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5205F7" w:rsidRDefault="005205F7" w:rsidP="005205F7">
            <w:pPr>
              <w:ind w:left="113" w:right="113"/>
            </w:pPr>
          </w:p>
        </w:tc>
        <w:tc>
          <w:tcPr>
            <w:tcW w:w="1000" w:type="pct"/>
            <w:tcBorders>
              <w:left w:val="single" w:sz="36" w:space="0" w:color="auto"/>
              <w:bottom w:val="single" w:sz="36" w:space="0" w:color="auto"/>
            </w:tcBorders>
          </w:tcPr>
          <w:p w:rsidR="005205F7" w:rsidRDefault="00126A28">
            <w:r>
              <w:t xml:space="preserve">Reads at a DRA level of 24 or higher </w:t>
            </w:r>
            <w:proofErr w:type="spellStart"/>
            <w:r>
              <w:t>lexile</w:t>
            </w:r>
            <w:proofErr w:type="spellEnd"/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5205F7" w:rsidRDefault="008A2FDB">
            <w:r>
              <w:t>Read at a DRA level of 20 or higher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5205F7" w:rsidRDefault="00126A28">
            <w:r>
              <w:t>Reads at a DRA level of 18 or 16</w:t>
            </w:r>
          </w:p>
        </w:tc>
        <w:tc>
          <w:tcPr>
            <w:tcW w:w="1000" w:type="pct"/>
            <w:tcBorders>
              <w:bottom w:val="single" w:sz="36" w:space="0" w:color="auto"/>
              <w:right w:val="single" w:sz="36" w:space="0" w:color="auto"/>
            </w:tcBorders>
          </w:tcPr>
          <w:p w:rsidR="005205F7" w:rsidRDefault="00126A28">
            <w:r>
              <w:t>Reads at a DRA level of 14 or lower</w:t>
            </w:r>
          </w:p>
        </w:tc>
      </w:tr>
      <w:tr w:rsidR="006842C1" w:rsidTr="004D2883">
        <w:trPr>
          <w:cantSplit/>
          <w:trHeight w:val="1295"/>
        </w:trPr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8A10B7" w:rsidRPr="008A10B7" w:rsidRDefault="008A10B7" w:rsidP="005205F7">
            <w:pPr>
              <w:ind w:left="113" w:right="113"/>
              <w:rPr>
                <w:sz w:val="44"/>
                <w:szCs w:val="44"/>
              </w:rPr>
            </w:pPr>
            <w:r w:rsidRPr="008A10B7">
              <w:rPr>
                <w:sz w:val="44"/>
                <w:szCs w:val="44"/>
              </w:rPr>
              <w:t>Oral Expression and Listening</w:t>
            </w: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</w:tcBorders>
          </w:tcPr>
          <w:p w:rsidR="008A10B7" w:rsidRDefault="000355C7">
            <w:r>
              <w:t>Creates own Fairy Tale, Folktale, or Fable with a clear lesson, moral or message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8A10B7" w:rsidRDefault="008A10B7">
            <w:r>
              <w:t>Describe lesson, moral or message in Fairy Tales, Folktales,  or Fables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8A10B7" w:rsidRDefault="000355C7">
            <w:r>
              <w:t>Attempts to describe the correct lesson, moral or message in Fairy Tales, Folktales, or Fables</w:t>
            </w:r>
          </w:p>
        </w:tc>
        <w:tc>
          <w:tcPr>
            <w:tcW w:w="1000" w:type="pct"/>
            <w:tcBorders>
              <w:top w:val="single" w:sz="36" w:space="0" w:color="auto"/>
              <w:right w:val="single" w:sz="36" w:space="0" w:color="auto"/>
            </w:tcBorders>
          </w:tcPr>
          <w:p w:rsidR="008A10B7" w:rsidRDefault="000355C7">
            <w:r>
              <w:t>Attempts to describe the lesson, moral or message in Fairy Tales, Folktales, or Fables</w:t>
            </w:r>
          </w:p>
        </w:tc>
      </w:tr>
      <w:tr w:rsidR="006842C1" w:rsidTr="004D2883">
        <w:trPr>
          <w:cantSplit/>
          <w:trHeight w:val="1134"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tbRl"/>
          </w:tcPr>
          <w:p w:rsidR="008A10B7" w:rsidRDefault="008A10B7" w:rsidP="005205F7">
            <w:pPr>
              <w:ind w:left="113" w:right="113"/>
            </w:pPr>
          </w:p>
        </w:tc>
        <w:tc>
          <w:tcPr>
            <w:tcW w:w="1000" w:type="pct"/>
            <w:tcBorders>
              <w:left w:val="single" w:sz="36" w:space="0" w:color="auto"/>
            </w:tcBorders>
          </w:tcPr>
          <w:p w:rsidR="008A10B7" w:rsidRDefault="00126A28">
            <w:r>
              <w:t>Creates</w:t>
            </w:r>
            <w:r w:rsidR="000355C7">
              <w:t xml:space="preserve"> and presents</w:t>
            </w:r>
            <w:r>
              <w:t xml:space="preserve"> own Fairy Tale, Folktale, and/or Fable including characters, setting, and plot</w:t>
            </w:r>
          </w:p>
        </w:tc>
        <w:tc>
          <w:tcPr>
            <w:tcW w:w="1000" w:type="pct"/>
          </w:tcPr>
          <w:p w:rsidR="008A10B7" w:rsidRDefault="008A10B7" w:rsidP="008A2FDB">
            <w:r>
              <w:t>Retell Fairy Tales, Folktales, and Fables including characters, setting, and plot</w:t>
            </w:r>
          </w:p>
          <w:p w:rsidR="008A10B7" w:rsidRDefault="008A10B7"/>
        </w:tc>
        <w:tc>
          <w:tcPr>
            <w:tcW w:w="1000" w:type="pct"/>
          </w:tcPr>
          <w:p w:rsidR="008A10B7" w:rsidRDefault="00126A28">
            <w:r>
              <w:t>Retell a Fairy Tale, Folktale, or Fable including characters, setting, and plot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8A10B7" w:rsidRDefault="000355C7">
            <w:r>
              <w:t>Attempts to retell a Fairy Tale, Folktale, and Fable including characters, setting, and plot</w:t>
            </w:r>
          </w:p>
        </w:tc>
      </w:tr>
      <w:tr w:rsidR="006842C1" w:rsidTr="004D2883">
        <w:trPr>
          <w:cantSplit/>
          <w:trHeight w:val="1134"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tbRl"/>
          </w:tcPr>
          <w:p w:rsidR="008A10B7" w:rsidRDefault="008A10B7" w:rsidP="005205F7">
            <w:pPr>
              <w:ind w:left="113" w:right="113"/>
            </w:pPr>
          </w:p>
        </w:tc>
        <w:tc>
          <w:tcPr>
            <w:tcW w:w="1000" w:type="pct"/>
            <w:tcBorders>
              <w:left w:val="single" w:sz="36" w:space="0" w:color="auto"/>
              <w:bottom w:val="single" w:sz="36" w:space="0" w:color="auto"/>
            </w:tcBorders>
          </w:tcPr>
          <w:p w:rsidR="008A10B7" w:rsidRDefault="000355C7">
            <w:r>
              <w:t xml:space="preserve">Reads at a DRA level of 24 or higher </w:t>
            </w:r>
            <w:proofErr w:type="spellStart"/>
            <w:r>
              <w:t>lexile</w:t>
            </w:r>
            <w:proofErr w:type="spellEnd"/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8A10B7" w:rsidRDefault="008A10B7" w:rsidP="008A2FDB">
            <w:r>
              <w:t>Read at a DRA level of 20 or higher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8A10B7" w:rsidRDefault="000355C7">
            <w:r>
              <w:t>Reads at a DRA level of 18 or 16</w:t>
            </w:r>
          </w:p>
        </w:tc>
        <w:tc>
          <w:tcPr>
            <w:tcW w:w="1000" w:type="pct"/>
            <w:tcBorders>
              <w:bottom w:val="single" w:sz="36" w:space="0" w:color="auto"/>
              <w:right w:val="single" w:sz="36" w:space="0" w:color="auto"/>
            </w:tcBorders>
          </w:tcPr>
          <w:p w:rsidR="008A10B7" w:rsidRDefault="000355C7">
            <w:r>
              <w:t>Reads at a DRA level of 14 or lower</w:t>
            </w:r>
          </w:p>
        </w:tc>
      </w:tr>
      <w:tr w:rsidR="006842C1" w:rsidTr="004D2883"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8A2FDB" w:rsidRPr="008A10B7" w:rsidRDefault="000355C7" w:rsidP="00F55F82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="009B2509" w:rsidRPr="008A10B7">
              <w:rPr>
                <w:sz w:val="44"/>
                <w:szCs w:val="44"/>
              </w:rPr>
              <w:t>Conventi</w:t>
            </w:r>
            <w:r>
              <w:rPr>
                <w:sz w:val="44"/>
                <w:szCs w:val="44"/>
              </w:rPr>
              <w:t>ons</w:t>
            </w: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</w:tcBorders>
          </w:tcPr>
          <w:p w:rsidR="009B2509" w:rsidRDefault="000355C7" w:rsidP="00F55F82">
            <w:r>
              <w:t>Consistently uses irregular plural nouns correctly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43171D" w:rsidRDefault="00BB0EA6" w:rsidP="00F55F82">
            <w:r>
              <w:t>Use irregular plural nouns</w:t>
            </w:r>
          </w:p>
          <w:p w:rsidR="000355C7" w:rsidRDefault="000355C7" w:rsidP="00F55F82">
            <w:r>
              <w:t>correctly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8A2FDB" w:rsidRDefault="000355C7" w:rsidP="00F55F82">
            <w:r>
              <w:t>Occasionally uses irregular plural nouns correctly</w:t>
            </w:r>
          </w:p>
        </w:tc>
        <w:tc>
          <w:tcPr>
            <w:tcW w:w="1000" w:type="pct"/>
            <w:tcBorders>
              <w:top w:val="single" w:sz="36" w:space="0" w:color="auto"/>
              <w:right w:val="single" w:sz="36" w:space="0" w:color="auto"/>
            </w:tcBorders>
          </w:tcPr>
          <w:p w:rsidR="008A2FDB" w:rsidRDefault="000355C7" w:rsidP="00F55F82">
            <w:r>
              <w:t>Attempts to use irregular plural nouns correctly</w:t>
            </w:r>
          </w:p>
        </w:tc>
      </w:tr>
      <w:tr w:rsidR="006842C1" w:rsidTr="004D2883">
        <w:trPr>
          <w:trHeight w:val="2105"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A2FDB" w:rsidRDefault="008A2FDB" w:rsidP="00F55F82"/>
        </w:tc>
        <w:tc>
          <w:tcPr>
            <w:tcW w:w="1000" w:type="pct"/>
            <w:tcBorders>
              <w:left w:val="single" w:sz="36" w:space="0" w:color="auto"/>
              <w:bottom w:val="single" w:sz="36" w:space="0" w:color="auto"/>
            </w:tcBorders>
          </w:tcPr>
          <w:p w:rsidR="009B2509" w:rsidRDefault="000355C7" w:rsidP="00F55F82">
            <w:r>
              <w:t>Uses capitalization of proper nouns within own writing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8A2FDB" w:rsidRDefault="008A10B7" w:rsidP="00F55F82">
            <w:r>
              <w:t>Capitalize</w:t>
            </w:r>
            <w:r w:rsidR="000355C7">
              <w:t xml:space="preserve"> proper nouns </w:t>
            </w:r>
          </w:p>
        </w:tc>
        <w:tc>
          <w:tcPr>
            <w:tcW w:w="1000" w:type="pct"/>
            <w:tcBorders>
              <w:bottom w:val="single" w:sz="36" w:space="0" w:color="auto"/>
            </w:tcBorders>
          </w:tcPr>
          <w:p w:rsidR="008A2FDB" w:rsidRDefault="000355C7" w:rsidP="00F55F82">
            <w:r>
              <w:t>Occasionally capitalizes proper nouns</w:t>
            </w:r>
          </w:p>
        </w:tc>
        <w:tc>
          <w:tcPr>
            <w:tcW w:w="1000" w:type="pct"/>
            <w:tcBorders>
              <w:bottom w:val="single" w:sz="36" w:space="0" w:color="auto"/>
              <w:right w:val="single" w:sz="36" w:space="0" w:color="auto"/>
            </w:tcBorders>
          </w:tcPr>
          <w:p w:rsidR="008A2FDB" w:rsidRDefault="000355C7" w:rsidP="00F55F82">
            <w:r>
              <w:t>Minimal use of capitalization of proper nouns</w:t>
            </w:r>
          </w:p>
        </w:tc>
      </w:tr>
      <w:tr w:rsidR="004D2883" w:rsidTr="00C70629">
        <w:trPr>
          <w:cantSplit/>
          <w:trHeight w:val="1245"/>
        </w:trPr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4D2883" w:rsidRPr="008A10B7" w:rsidRDefault="004D2883" w:rsidP="004D2883">
            <w:pPr>
              <w:ind w:left="743" w:right="113"/>
              <w:rPr>
                <w:sz w:val="44"/>
                <w:szCs w:val="44"/>
              </w:rPr>
            </w:pPr>
            <w:r w:rsidRPr="008A10B7">
              <w:rPr>
                <w:sz w:val="44"/>
                <w:szCs w:val="44"/>
              </w:rPr>
              <w:t>Composition</w:t>
            </w: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93740" w:rsidRDefault="00F93740" w:rsidP="00F93740">
            <w:r>
              <w:t xml:space="preserve">uses temporal words in a way that </w:t>
            </w:r>
          </w:p>
          <w:p w:rsidR="00F93740" w:rsidRDefault="00F93740" w:rsidP="00F93740">
            <w:r>
              <w:t xml:space="preserve">creates a natural flow and enhances </w:t>
            </w:r>
          </w:p>
          <w:p w:rsidR="004D2883" w:rsidRDefault="00F93740" w:rsidP="00F93740">
            <w:r>
              <w:t xml:space="preserve">the story 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4D2883" w:rsidRDefault="000355C7" w:rsidP="00F55F82">
            <w:r>
              <w:t>Uses t</w:t>
            </w:r>
            <w:r w:rsidR="004D2883">
              <w:t>emporal words to signify the order of an event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4D2883" w:rsidRDefault="000355C7" w:rsidP="00F55F82">
            <w:r>
              <w:t>Occasionally uses temporal words to signify the order of an event</w:t>
            </w:r>
          </w:p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D2883" w:rsidRDefault="000355C7" w:rsidP="00F55F82">
            <w:r>
              <w:t>Able to recognize temporal words in others’ writing</w:t>
            </w:r>
          </w:p>
        </w:tc>
      </w:tr>
      <w:tr w:rsidR="004D2883" w:rsidTr="00C70629">
        <w:trPr>
          <w:cantSplit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4D2883" w:rsidRPr="008A10B7" w:rsidRDefault="004D2883" w:rsidP="004D2883">
            <w:pPr>
              <w:ind w:left="743" w:right="113"/>
              <w:rPr>
                <w:sz w:val="44"/>
                <w:szCs w:val="44"/>
              </w:rPr>
            </w:pP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4D2883" w:rsidRDefault="004D2883" w:rsidP="00F55F82"/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4D2883" w:rsidRDefault="004D2883" w:rsidP="00F55F82"/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</w:tcBorders>
          </w:tcPr>
          <w:p w:rsidR="004D2883" w:rsidRDefault="004D2883" w:rsidP="00F55F82"/>
        </w:tc>
        <w:tc>
          <w:tcPr>
            <w:tcW w:w="1000" w:type="pct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D2883" w:rsidRDefault="004D2883" w:rsidP="00F55F82"/>
        </w:tc>
      </w:tr>
      <w:tr w:rsidR="006842C1" w:rsidTr="004D2883">
        <w:trPr>
          <w:cantSplit/>
          <w:trHeight w:val="1134"/>
        </w:trPr>
        <w:tc>
          <w:tcPr>
            <w:tcW w:w="999" w:type="pct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4D2883" w:rsidRDefault="004D2883" w:rsidP="00F55F82">
            <w:pPr>
              <w:ind w:left="113" w:right="113"/>
            </w:pPr>
          </w:p>
          <w:p w:rsidR="004D2883" w:rsidRDefault="004D2883" w:rsidP="004D2883">
            <w:pPr>
              <w:ind w:left="323" w:right="113"/>
            </w:pPr>
          </w:p>
          <w:p w:rsidR="008A10B7" w:rsidRDefault="008A10B7" w:rsidP="004D2883">
            <w:pPr>
              <w:spacing w:after="200" w:line="276" w:lineRule="auto"/>
            </w:pPr>
          </w:p>
        </w:tc>
        <w:tc>
          <w:tcPr>
            <w:tcW w:w="1000" w:type="pct"/>
            <w:tcBorders>
              <w:top w:val="single" w:sz="36" w:space="0" w:color="auto"/>
              <w:left w:val="single" w:sz="36" w:space="0" w:color="auto"/>
            </w:tcBorders>
          </w:tcPr>
          <w:p w:rsidR="008A10B7" w:rsidRDefault="00F93740" w:rsidP="00F55F82">
            <w:r>
              <w:t>Provides a sense of closure that brings satisfaction to the reader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8A10B7" w:rsidRDefault="008A10B7" w:rsidP="00F55F82">
            <w:r>
              <w:t>Provide</w:t>
            </w:r>
            <w:r w:rsidR="00F93740">
              <w:t>s</w:t>
            </w:r>
            <w:r>
              <w:t xml:space="preserve"> a sense of closure</w:t>
            </w:r>
          </w:p>
        </w:tc>
        <w:tc>
          <w:tcPr>
            <w:tcW w:w="1000" w:type="pct"/>
            <w:tcBorders>
              <w:top w:val="single" w:sz="36" w:space="0" w:color="auto"/>
            </w:tcBorders>
          </w:tcPr>
          <w:p w:rsidR="008A10B7" w:rsidRDefault="00F93740" w:rsidP="00F55F82">
            <w:r>
              <w:t>Partially provides a sense of closure</w:t>
            </w:r>
          </w:p>
        </w:tc>
        <w:tc>
          <w:tcPr>
            <w:tcW w:w="1000" w:type="pct"/>
            <w:tcBorders>
              <w:top w:val="single" w:sz="36" w:space="0" w:color="auto"/>
              <w:right w:val="single" w:sz="36" w:space="0" w:color="auto"/>
            </w:tcBorders>
          </w:tcPr>
          <w:p w:rsidR="008A10B7" w:rsidRDefault="00F93740" w:rsidP="00F55F82">
            <w:r>
              <w:t>Attempts to provide a sense of closure</w:t>
            </w:r>
          </w:p>
        </w:tc>
      </w:tr>
      <w:tr w:rsidR="006842C1" w:rsidTr="004D2883">
        <w:trPr>
          <w:cantSplit/>
          <w:trHeight w:val="1134"/>
        </w:trPr>
        <w:tc>
          <w:tcPr>
            <w:tcW w:w="999" w:type="pct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8A10B7" w:rsidRDefault="008A10B7" w:rsidP="00F55F82">
            <w:pPr>
              <w:ind w:left="113" w:right="113"/>
            </w:pPr>
          </w:p>
        </w:tc>
        <w:tc>
          <w:tcPr>
            <w:tcW w:w="1000" w:type="pct"/>
            <w:tcBorders>
              <w:left w:val="single" w:sz="36" w:space="0" w:color="auto"/>
            </w:tcBorders>
          </w:tcPr>
          <w:p w:rsidR="00F93740" w:rsidRDefault="00F93740" w:rsidP="00F93740">
            <w:r>
              <w:t>U</w:t>
            </w:r>
            <w:r>
              <w:t xml:space="preserve">ses simple, compound, and complex </w:t>
            </w:r>
          </w:p>
          <w:p w:rsidR="008A10B7" w:rsidRDefault="00F93740" w:rsidP="00F93740">
            <w:r>
              <w:t xml:space="preserve">sentences to create fluency </w:t>
            </w:r>
          </w:p>
        </w:tc>
        <w:tc>
          <w:tcPr>
            <w:tcW w:w="1000" w:type="pct"/>
          </w:tcPr>
          <w:p w:rsidR="008A10B7" w:rsidRDefault="008A10B7" w:rsidP="00F55F82">
            <w:r>
              <w:t>Vary sentence beginnings</w:t>
            </w:r>
          </w:p>
        </w:tc>
        <w:tc>
          <w:tcPr>
            <w:tcW w:w="1000" w:type="pct"/>
          </w:tcPr>
          <w:p w:rsidR="008A10B7" w:rsidRDefault="00F93740" w:rsidP="00F55F82">
            <w:r>
              <w:t xml:space="preserve">Uses </w:t>
            </w:r>
            <w:r w:rsidRPr="00F93740">
              <w:t xml:space="preserve"> simple sentences</w:t>
            </w:r>
            <w:r>
              <w:t xml:space="preserve">  with little variation in beginning</w:t>
            </w:r>
          </w:p>
        </w:tc>
        <w:tc>
          <w:tcPr>
            <w:tcW w:w="1000" w:type="pct"/>
            <w:tcBorders>
              <w:right w:val="single" w:sz="36" w:space="0" w:color="auto"/>
            </w:tcBorders>
          </w:tcPr>
          <w:p w:rsidR="008A10B7" w:rsidRDefault="00F93740" w:rsidP="00F55F82">
            <w:r>
              <w:t>Minimal variation in sentence beginnings</w:t>
            </w:r>
          </w:p>
        </w:tc>
      </w:tr>
    </w:tbl>
    <w:p w:rsidR="00E77B1A" w:rsidRDefault="00E77B1A">
      <w:bookmarkStart w:id="0" w:name="_GoBack"/>
      <w:bookmarkEnd w:id="0"/>
    </w:p>
    <w:sectPr w:rsidR="00E77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F4" w:rsidRDefault="001925F4" w:rsidP="008A2FDB">
      <w:pPr>
        <w:spacing w:after="0" w:line="240" w:lineRule="auto"/>
      </w:pPr>
      <w:r>
        <w:separator/>
      </w:r>
    </w:p>
  </w:endnote>
  <w:endnote w:type="continuationSeparator" w:id="0">
    <w:p w:rsidR="001925F4" w:rsidRDefault="001925F4" w:rsidP="008A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F4" w:rsidRDefault="001925F4" w:rsidP="008A2FDB">
      <w:pPr>
        <w:spacing w:after="0" w:line="240" w:lineRule="auto"/>
      </w:pPr>
      <w:r>
        <w:separator/>
      </w:r>
    </w:p>
  </w:footnote>
  <w:footnote w:type="continuationSeparator" w:id="0">
    <w:p w:rsidR="001925F4" w:rsidRDefault="001925F4" w:rsidP="008A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DB" w:rsidRPr="008A2FDB" w:rsidRDefault="008A2FDB" w:rsidP="008A2FDB">
    <w:pPr>
      <w:pStyle w:val="Header"/>
      <w:jc w:val="center"/>
      <w:rPr>
        <w:b/>
        <w:sz w:val="32"/>
        <w:szCs w:val="32"/>
      </w:rPr>
    </w:pPr>
    <w:r w:rsidRPr="008A2FDB">
      <w:rPr>
        <w:b/>
        <w:sz w:val="32"/>
        <w:szCs w:val="32"/>
      </w:rPr>
      <w:t>Fairy Tales, Folktales and Fables Standards</w:t>
    </w:r>
  </w:p>
  <w:p w:rsidR="008A2FDB" w:rsidRPr="008A2FDB" w:rsidRDefault="008A2FDB" w:rsidP="008A2FDB">
    <w:pPr>
      <w:pStyle w:val="Header"/>
      <w:jc w:val="center"/>
      <w:rPr>
        <w:i/>
        <w:sz w:val="32"/>
        <w:szCs w:val="32"/>
      </w:rPr>
    </w:pPr>
    <w:r w:rsidRPr="008A2FDB">
      <w:rPr>
        <w:i/>
        <w:sz w:val="32"/>
        <w:szCs w:val="32"/>
      </w:rPr>
      <w:t>Conceptual Understanding: How do the parts relate to the whole?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7"/>
    <w:rsid w:val="000355C7"/>
    <w:rsid w:val="000C09B1"/>
    <w:rsid w:val="00126A28"/>
    <w:rsid w:val="001925F4"/>
    <w:rsid w:val="0043171D"/>
    <w:rsid w:val="004D2883"/>
    <w:rsid w:val="005205F7"/>
    <w:rsid w:val="006842C1"/>
    <w:rsid w:val="007676BB"/>
    <w:rsid w:val="008A10B7"/>
    <w:rsid w:val="008A2FDB"/>
    <w:rsid w:val="009B2509"/>
    <w:rsid w:val="00B95073"/>
    <w:rsid w:val="00BB0EA6"/>
    <w:rsid w:val="00E70ACD"/>
    <w:rsid w:val="00E77B1A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DB"/>
  </w:style>
  <w:style w:type="paragraph" w:styleId="Footer">
    <w:name w:val="footer"/>
    <w:basedOn w:val="Normal"/>
    <w:link w:val="FooterChar"/>
    <w:uiPriority w:val="99"/>
    <w:unhideWhenUsed/>
    <w:rsid w:val="008A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DB"/>
  </w:style>
  <w:style w:type="paragraph" w:styleId="Footer">
    <w:name w:val="footer"/>
    <w:basedOn w:val="Normal"/>
    <w:link w:val="FooterChar"/>
    <w:uiPriority w:val="99"/>
    <w:unhideWhenUsed/>
    <w:rsid w:val="008A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2013-11-06T21:54:00Z</dcterms:created>
  <dcterms:modified xsi:type="dcterms:W3CDTF">2013-11-07T00:07:00Z</dcterms:modified>
</cp:coreProperties>
</file>